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2412" w14:textId="498CD845" w:rsidR="00907669" w:rsidRPr="00A91527" w:rsidRDefault="00907669" w:rsidP="00907669">
      <w:pPr>
        <w:jc w:val="center"/>
        <w:rPr>
          <w:b/>
          <w:bCs/>
        </w:rPr>
      </w:pPr>
      <w:r w:rsidRPr="00A91527">
        <w:rPr>
          <w:b/>
          <w:bCs/>
        </w:rPr>
        <w:t>2023 ANNUAL GRANT</w:t>
      </w:r>
      <w:r w:rsidR="006922DB">
        <w:rPr>
          <w:b/>
          <w:bCs/>
        </w:rPr>
        <w:t>S</w:t>
      </w:r>
    </w:p>
    <w:p w14:paraId="46D08BFF" w14:textId="0B205980" w:rsidR="00907669" w:rsidRPr="00A91527" w:rsidRDefault="006922DB" w:rsidP="005D02CF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Application Guidelines</w:t>
      </w:r>
    </w:p>
    <w:p w14:paraId="49979E16" w14:textId="38754F0C" w:rsidR="00907669" w:rsidRDefault="00907669" w:rsidP="00907669">
      <w:r>
        <w:t xml:space="preserve">Please ensure you have read and understood this information prior to commencing your application. </w:t>
      </w:r>
    </w:p>
    <w:p w14:paraId="589893C6" w14:textId="77777777" w:rsidR="00907669" w:rsidRDefault="00907669" w:rsidP="00907669">
      <w:r>
        <w:t>All enquiries should be directed to the Program Manager, Ola Kay on 9382 4107 or ola@powhf.org.au.</w:t>
      </w:r>
    </w:p>
    <w:p w14:paraId="54074EF0" w14:textId="52969193" w:rsidR="00E36E46" w:rsidRPr="00FC05AA" w:rsidRDefault="00907669" w:rsidP="00907669">
      <w:r w:rsidRPr="00FC05AA">
        <w:t xml:space="preserve">Application Opening Date: </w:t>
      </w:r>
      <w:r w:rsidR="006E4A07" w:rsidRPr="00FC05AA">
        <w:t>19</w:t>
      </w:r>
      <w:r w:rsidR="006E4A07" w:rsidRPr="00FC05AA">
        <w:rPr>
          <w:vertAlign w:val="superscript"/>
        </w:rPr>
        <w:t>th</w:t>
      </w:r>
      <w:r w:rsidR="006E4A07" w:rsidRPr="00FC05AA">
        <w:t xml:space="preserve"> April 2023</w:t>
      </w:r>
      <w:r w:rsidR="00473E98" w:rsidRPr="00FC05AA">
        <w:tab/>
      </w:r>
    </w:p>
    <w:p w14:paraId="2AE97086" w14:textId="3C555AC8" w:rsidR="00907669" w:rsidRDefault="00907669" w:rsidP="00907669">
      <w:r w:rsidRPr="00FC05AA">
        <w:t xml:space="preserve">Application Closing Date: </w:t>
      </w:r>
      <w:r w:rsidR="00CB0457" w:rsidRPr="00FC05AA">
        <w:t>Friday 23 June 2023 at</w:t>
      </w:r>
      <w:r>
        <w:t xml:space="preserve"> midnight - late applications will not be considered.</w:t>
      </w:r>
    </w:p>
    <w:p w14:paraId="588E9454" w14:textId="64D3FE47" w:rsidR="00907669" w:rsidRDefault="00907669" w:rsidP="00907669">
      <w:r>
        <w:t>A</w:t>
      </w:r>
      <w:r w:rsidR="00473E98">
        <w:t xml:space="preserve">nnouncement </w:t>
      </w:r>
      <w:r>
        <w:t xml:space="preserve">Date: </w:t>
      </w:r>
      <w:r w:rsidR="00FB1FF7">
        <w:t>1</w:t>
      </w:r>
      <w:r w:rsidR="00FB1FF7" w:rsidRPr="00FB1FF7">
        <w:rPr>
          <w:vertAlign w:val="superscript"/>
        </w:rPr>
        <w:t>st</w:t>
      </w:r>
      <w:r w:rsidR="00FB1FF7">
        <w:t xml:space="preserve"> August 2023</w:t>
      </w:r>
      <w:r>
        <w:t xml:space="preserve"> at the General Managers Staff Forum </w:t>
      </w:r>
    </w:p>
    <w:p w14:paraId="4AAEE69F" w14:textId="77777777" w:rsidR="00470A62" w:rsidRDefault="00470A62" w:rsidP="00907669">
      <w:pPr>
        <w:rPr>
          <w:u w:val="single"/>
        </w:rPr>
      </w:pPr>
    </w:p>
    <w:p w14:paraId="70DD3793" w14:textId="6469D21F" w:rsidR="00907669" w:rsidRPr="00A91527" w:rsidRDefault="00907669" w:rsidP="00907669">
      <w:pPr>
        <w:rPr>
          <w:u w:val="single"/>
        </w:rPr>
      </w:pPr>
      <w:r w:rsidRPr="00A91527">
        <w:rPr>
          <w:u w:val="single"/>
        </w:rPr>
        <w:t>1. OUR MISSION</w:t>
      </w:r>
    </w:p>
    <w:p w14:paraId="71A9F32B" w14:textId="0C029093" w:rsidR="00907669" w:rsidRPr="00A91527" w:rsidRDefault="00907669" w:rsidP="00907669">
      <w:r>
        <w:t>The Prince of Wales Hospital Foundation Ltd (the Foundation) aims to</w:t>
      </w:r>
      <w:r w:rsidRPr="00A91527">
        <w:t xml:space="preserve"> provide the Prince of Wales Hospital </w:t>
      </w:r>
      <w:r w:rsidR="006922DB">
        <w:t xml:space="preserve">(POWH) </w:t>
      </w:r>
      <w:r w:rsidRPr="00A91527">
        <w:t xml:space="preserve">more opportunities to </w:t>
      </w:r>
      <w:r w:rsidR="00473E98">
        <w:t>improve patient care and outcomes</w:t>
      </w:r>
      <w:r>
        <w:t>, by supporting outstanding projects in the areas of Research, Innovation, Education and Wellbeing.</w:t>
      </w:r>
    </w:p>
    <w:p w14:paraId="03C32B08" w14:textId="77777777" w:rsidR="006922DB" w:rsidRDefault="006922DB" w:rsidP="00907669">
      <w:pPr>
        <w:rPr>
          <w:u w:val="single"/>
        </w:rPr>
      </w:pPr>
    </w:p>
    <w:p w14:paraId="543BB20B" w14:textId="3C5AD5A7" w:rsidR="00907669" w:rsidRPr="00DB4647" w:rsidRDefault="00907669" w:rsidP="00907669">
      <w:pPr>
        <w:rPr>
          <w:u w:val="single"/>
        </w:rPr>
      </w:pPr>
      <w:r w:rsidRPr="00DB4647">
        <w:rPr>
          <w:u w:val="single"/>
        </w:rPr>
        <w:t>2. ABOUT THE ANNUAL GRANT</w:t>
      </w:r>
      <w:r w:rsidR="006922DB">
        <w:rPr>
          <w:u w:val="single"/>
        </w:rPr>
        <w:t>S</w:t>
      </w:r>
    </w:p>
    <w:p w14:paraId="112A209F" w14:textId="283D6343" w:rsidR="00907669" w:rsidRDefault="00907669" w:rsidP="00907669">
      <w:pPr>
        <w:spacing w:after="120" w:line="240" w:lineRule="auto"/>
      </w:pPr>
      <w:r>
        <w:t xml:space="preserve">2.1 The Foundation Annual Grant Round (Annual Grant Round) provides funding support to POWH staff towards research, education, innovation and staff and patient wellbeing initiatives. The Foundation has provided </w:t>
      </w:r>
      <w:r w:rsidRPr="00841AF1">
        <w:t>over $5 million</w:t>
      </w:r>
      <w:r>
        <w:t xml:space="preserve"> in Grant Round opportunities since 2012. </w:t>
      </w:r>
    </w:p>
    <w:p w14:paraId="18323853" w14:textId="5CCB318D" w:rsidR="00907669" w:rsidRDefault="00907669" w:rsidP="00907669">
      <w:pPr>
        <w:spacing w:after="120" w:line="240" w:lineRule="auto"/>
      </w:pPr>
      <w:r>
        <w:t xml:space="preserve">2.2 In 2023-4, the Foundation is offering </w:t>
      </w:r>
      <w:r w:rsidR="00473E98">
        <w:t>up to</w:t>
      </w:r>
      <w:r>
        <w:t xml:space="preserve"> $1,000,000 (one million dollars) in Annual Grants.</w:t>
      </w:r>
    </w:p>
    <w:p w14:paraId="14A5AF14" w14:textId="77777777" w:rsidR="00A81145" w:rsidRDefault="00A81145" w:rsidP="00907669">
      <w:pPr>
        <w:rPr>
          <w:u w:val="single"/>
        </w:rPr>
      </w:pPr>
    </w:p>
    <w:p w14:paraId="0A66B3D8" w14:textId="44ABFA14" w:rsidR="00907669" w:rsidRPr="00DB4647" w:rsidRDefault="00907669" w:rsidP="00907669">
      <w:pPr>
        <w:rPr>
          <w:u w:val="single"/>
        </w:rPr>
      </w:pPr>
      <w:r w:rsidRPr="00DB4647">
        <w:rPr>
          <w:u w:val="single"/>
        </w:rPr>
        <w:t>3. GRANT CATEGORIES</w:t>
      </w:r>
    </w:p>
    <w:p w14:paraId="210E1606" w14:textId="4A173652" w:rsidR="00907669" w:rsidRDefault="00907669" w:rsidP="00907669">
      <w:r>
        <w:t>The 2023 Annual Grant categories are:</w:t>
      </w:r>
    </w:p>
    <w:p w14:paraId="346FB2A1" w14:textId="77777777" w:rsidR="00907669" w:rsidRDefault="00907669" w:rsidP="00907669">
      <w:r>
        <w:rPr>
          <w:rFonts w:ascii="Cambria Math" w:hAnsi="Cambria Math" w:cs="Cambria Math"/>
        </w:rPr>
        <w:t>〉</w:t>
      </w:r>
      <w:r>
        <w:t xml:space="preserve"> </w:t>
      </w:r>
      <w:r w:rsidRPr="008D1C0C">
        <w:rPr>
          <w:b/>
          <w:bCs/>
        </w:rPr>
        <w:t>Research</w:t>
      </w:r>
      <w:r>
        <w:t xml:space="preserve"> - </w:t>
      </w:r>
      <w:r w:rsidRPr="008D1C0C">
        <w:t xml:space="preserve">Supporting researchers within their </w:t>
      </w:r>
      <w:proofErr w:type="gramStart"/>
      <w:r w:rsidRPr="008D1C0C">
        <w:t>field</w:t>
      </w:r>
      <w:proofErr w:type="gramEnd"/>
    </w:p>
    <w:p w14:paraId="3C24AB25" w14:textId="77777777" w:rsidR="00907669" w:rsidRDefault="00907669" w:rsidP="00907669">
      <w:r>
        <w:rPr>
          <w:rFonts w:ascii="Cambria Math" w:hAnsi="Cambria Math" w:cs="Cambria Math"/>
        </w:rPr>
        <w:t>〉</w:t>
      </w:r>
      <w:r>
        <w:t xml:space="preserve"> </w:t>
      </w:r>
      <w:r w:rsidRPr="008D1C0C">
        <w:rPr>
          <w:b/>
          <w:bCs/>
        </w:rPr>
        <w:t>Education</w:t>
      </w:r>
      <w:r>
        <w:t xml:space="preserve"> - </w:t>
      </w:r>
      <w:r w:rsidRPr="008D1C0C">
        <w:t>Staff education initiatives and conferences</w:t>
      </w:r>
    </w:p>
    <w:p w14:paraId="1324BAC7" w14:textId="77777777" w:rsidR="006922DB" w:rsidRPr="006922DB" w:rsidRDefault="00907669" w:rsidP="006922DB">
      <w:pPr>
        <w:spacing w:after="0" w:line="360" w:lineRule="auto"/>
        <w:rPr>
          <w:rFonts w:eastAsia="Times New Roman"/>
          <w:i/>
          <w:iCs/>
        </w:rPr>
      </w:pPr>
      <w:r w:rsidRPr="006922DB">
        <w:rPr>
          <w:rFonts w:ascii="Cambria Math" w:hAnsi="Cambria Math" w:cs="Cambria Math"/>
        </w:rPr>
        <w:t>〉</w:t>
      </w:r>
      <w:r w:rsidRPr="006922DB">
        <w:t xml:space="preserve"> </w:t>
      </w:r>
      <w:r w:rsidRPr="006922DB">
        <w:rPr>
          <w:b/>
          <w:bCs/>
        </w:rPr>
        <w:t>Innovation</w:t>
      </w:r>
      <w:r w:rsidRPr="006922DB">
        <w:t xml:space="preserve"> - </w:t>
      </w:r>
      <w:r w:rsidR="006922DB" w:rsidRPr="006922DB">
        <w:rPr>
          <w:rFonts w:eastAsia="Times New Roman"/>
          <w:color w:val="161616"/>
          <w:shd w:val="clear" w:color="auto" w:fill="FFFFFF"/>
        </w:rPr>
        <w:t>Developments, simple or complex, that lead to improvements in health outcomes and patient experience.</w:t>
      </w:r>
    </w:p>
    <w:p w14:paraId="0D9F3AE1" w14:textId="4CF1A2AF" w:rsidR="00907669" w:rsidRDefault="00907669" w:rsidP="006922DB">
      <w:pPr>
        <w:spacing w:line="360" w:lineRule="auto"/>
      </w:pPr>
      <w:r>
        <w:rPr>
          <w:rFonts w:ascii="Cambria Math" w:hAnsi="Cambria Math" w:cs="Cambria Math"/>
        </w:rPr>
        <w:t>〉</w:t>
      </w:r>
      <w:r>
        <w:t xml:space="preserve"> </w:t>
      </w:r>
      <w:r w:rsidRPr="008D1C0C">
        <w:rPr>
          <w:b/>
          <w:bCs/>
        </w:rPr>
        <w:t>Wellbeing</w:t>
      </w:r>
      <w:r>
        <w:t xml:space="preserve"> - </w:t>
      </w:r>
      <w:r w:rsidRPr="008D1C0C">
        <w:t>Positive physical and emotional outcomes for staff and patients</w:t>
      </w:r>
    </w:p>
    <w:p w14:paraId="484D9D36" w14:textId="4A763EC3" w:rsidR="00470A62" w:rsidRDefault="00470A62" w:rsidP="006922DB">
      <w:pPr>
        <w:spacing w:line="360" w:lineRule="auto"/>
      </w:pPr>
      <w:r w:rsidRPr="0061397B">
        <w:t xml:space="preserve">NB: </w:t>
      </w:r>
      <w:r w:rsidR="00861635" w:rsidRPr="0061397B">
        <w:t xml:space="preserve">Equipment is not a stand-alone category, </w:t>
      </w:r>
      <w:proofErr w:type="gramStart"/>
      <w:r w:rsidR="00861635" w:rsidRPr="0061397B">
        <w:t>however</w:t>
      </w:r>
      <w:proofErr w:type="gramEnd"/>
      <w:r w:rsidR="00861635" w:rsidRPr="0061397B">
        <w:t xml:space="preserve"> will be considered for applications that deliver clear impact as part of a broader project under the existing categories and criteria.</w:t>
      </w:r>
    </w:p>
    <w:p w14:paraId="58071EB0" w14:textId="549B9F2A" w:rsidR="00DD76FD" w:rsidRPr="00670CFF" w:rsidRDefault="00DD76FD" w:rsidP="00DD76FD">
      <w:pPr>
        <w:rPr>
          <w:u w:val="single"/>
        </w:rPr>
      </w:pPr>
      <w:r w:rsidRPr="00670CFF">
        <w:rPr>
          <w:u w:val="single"/>
        </w:rPr>
        <w:t xml:space="preserve">4. ELIGIBILITY </w:t>
      </w:r>
      <w:r w:rsidR="0057211D">
        <w:rPr>
          <w:u w:val="single"/>
        </w:rPr>
        <w:t xml:space="preserve">and ALL CATEGORY </w:t>
      </w:r>
      <w:r w:rsidRPr="00670CFF">
        <w:rPr>
          <w:u w:val="single"/>
        </w:rPr>
        <w:t>CRITERIA</w:t>
      </w:r>
    </w:p>
    <w:p w14:paraId="24312A91" w14:textId="1C8E814E" w:rsidR="00DD76FD" w:rsidRPr="006922DB" w:rsidRDefault="00DD76FD" w:rsidP="006922DB">
      <w:pPr>
        <w:pStyle w:val="ListParagraph"/>
        <w:numPr>
          <w:ilvl w:val="1"/>
          <w:numId w:val="1"/>
        </w:numPr>
        <w:spacing w:line="360" w:lineRule="auto"/>
      </w:pPr>
      <w:r w:rsidRPr="006922DB">
        <w:t xml:space="preserve">Applications are open to </w:t>
      </w:r>
      <w:r w:rsidRPr="00D8602B">
        <w:t xml:space="preserve">all </w:t>
      </w:r>
      <w:r w:rsidR="006922DB" w:rsidRPr="00D8602B">
        <w:t>staff of</w:t>
      </w:r>
      <w:r w:rsidRPr="006922DB">
        <w:t xml:space="preserve"> </w:t>
      </w:r>
      <w:proofErr w:type="gramStart"/>
      <w:r w:rsidRPr="006922DB">
        <w:t>POWH</w:t>
      </w:r>
      <w:proofErr w:type="gramEnd"/>
      <w:r w:rsidRPr="006922DB">
        <w:t xml:space="preserve"> </w:t>
      </w:r>
    </w:p>
    <w:p w14:paraId="0D3AD458" w14:textId="10757284" w:rsidR="00DD76FD" w:rsidRDefault="00DD76FD" w:rsidP="006922DB">
      <w:pPr>
        <w:pStyle w:val="ListParagraph"/>
        <w:numPr>
          <w:ilvl w:val="1"/>
          <w:numId w:val="1"/>
        </w:numPr>
        <w:spacing w:line="360" w:lineRule="auto"/>
      </w:pPr>
      <w:r>
        <w:t>The Grant must directly</w:t>
      </w:r>
      <w:r w:rsidR="0057211D">
        <w:t xml:space="preserve"> and clearly</w:t>
      </w:r>
      <w:r>
        <w:t xml:space="preserve"> benefit </w:t>
      </w:r>
      <w:r w:rsidR="007D7B75">
        <w:t xml:space="preserve">POWH </w:t>
      </w:r>
      <w:r>
        <w:t xml:space="preserve">patients </w:t>
      </w:r>
      <w:r w:rsidR="0057211D">
        <w:t>and/</w:t>
      </w:r>
      <w:r>
        <w:t>or staff.</w:t>
      </w:r>
    </w:p>
    <w:p w14:paraId="1D6EB1ED" w14:textId="35970B33" w:rsidR="00A65E62" w:rsidRDefault="00A65E62" w:rsidP="00A65E62">
      <w:pPr>
        <w:pStyle w:val="ListParagraph"/>
        <w:numPr>
          <w:ilvl w:val="1"/>
          <w:numId w:val="1"/>
        </w:numPr>
        <w:spacing w:before="120" w:after="120" w:line="360" w:lineRule="auto"/>
      </w:pPr>
      <w:r>
        <w:lastRenderedPageBreak/>
        <w:t>Applications are for projects commencing from the opening of the 2023 Annual Grants onwards. Applications for retrospective projects will not be eligible.</w:t>
      </w:r>
    </w:p>
    <w:p w14:paraId="5DD35188" w14:textId="715690B2" w:rsidR="00AE70CE" w:rsidRDefault="00DD76FD" w:rsidP="00A65E62">
      <w:pPr>
        <w:spacing w:before="120" w:after="120" w:line="360" w:lineRule="auto"/>
      </w:pPr>
      <w:r>
        <w:t xml:space="preserve">4.3 </w:t>
      </w:r>
      <w:r w:rsidR="007D7B75">
        <w:t>All</w:t>
      </w:r>
      <w:r>
        <w:t xml:space="preserve"> application</w:t>
      </w:r>
      <w:r w:rsidR="00103988">
        <w:t>s</w:t>
      </w:r>
      <w:r w:rsidR="00AE70CE">
        <w:t xml:space="preserve"> </w:t>
      </w:r>
      <w:r>
        <w:t>must demonstrate</w:t>
      </w:r>
      <w:r w:rsidR="00AE70CE">
        <w:t>:</w:t>
      </w:r>
    </w:p>
    <w:p w14:paraId="0C1933FD" w14:textId="7B7EE117" w:rsidR="00AE70CE" w:rsidRPr="00841AF1" w:rsidRDefault="00FF4241" w:rsidP="00A65E62">
      <w:pPr>
        <w:pStyle w:val="ListParagraph"/>
        <w:numPr>
          <w:ilvl w:val="0"/>
          <w:numId w:val="16"/>
        </w:numPr>
        <w:spacing w:before="120" w:after="120" w:line="360" w:lineRule="auto"/>
      </w:pPr>
      <w:r>
        <w:t xml:space="preserve">Clarity of </w:t>
      </w:r>
      <w:r w:rsidRPr="00841AF1">
        <w:t>p</w:t>
      </w:r>
      <w:r w:rsidR="00AE70CE" w:rsidRPr="00841AF1">
        <w:t>roject objective</w:t>
      </w:r>
    </w:p>
    <w:p w14:paraId="68B6F8AE" w14:textId="61E03CD6" w:rsidR="00AE70CE" w:rsidRPr="00841AF1" w:rsidRDefault="00FF4241" w:rsidP="00841AF1">
      <w:pPr>
        <w:pStyle w:val="ListParagraph"/>
        <w:numPr>
          <w:ilvl w:val="0"/>
          <w:numId w:val="16"/>
        </w:numPr>
        <w:spacing w:before="120" w:after="120" w:line="360" w:lineRule="auto"/>
      </w:pPr>
      <w:r w:rsidRPr="00841AF1">
        <w:t>Clarity of a</w:t>
      </w:r>
      <w:r w:rsidR="00AE70CE" w:rsidRPr="00841AF1">
        <w:t>nticipated outcome</w:t>
      </w:r>
    </w:p>
    <w:p w14:paraId="0A95DAFB" w14:textId="7B3DD228" w:rsidR="00AE70CE" w:rsidRPr="00A65E62" w:rsidRDefault="00FF4241" w:rsidP="00841AF1">
      <w:pPr>
        <w:pStyle w:val="ListParagraph"/>
        <w:numPr>
          <w:ilvl w:val="0"/>
          <w:numId w:val="16"/>
        </w:numPr>
        <w:spacing w:before="120" w:after="120" w:line="360" w:lineRule="auto"/>
      </w:pPr>
      <w:r w:rsidRPr="00A65E62">
        <w:t>I</w:t>
      </w:r>
      <w:r w:rsidR="00AE70CE" w:rsidRPr="00A65E62">
        <w:t>mpact on POWH staff an</w:t>
      </w:r>
      <w:r w:rsidRPr="00A65E62">
        <w:t>d</w:t>
      </w:r>
      <w:r w:rsidR="00AE70CE" w:rsidRPr="00A65E62">
        <w:t>/or patients</w:t>
      </w:r>
    </w:p>
    <w:p w14:paraId="3F51A314" w14:textId="28F84547" w:rsidR="00A65E62" w:rsidRDefault="00103988" w:rsidP="00841AF1">
      <w:pPr>
        <w:pStyle w:val="ListParagraph"/>
        <w:numPr>
          <w:ilvl w:val="0"/>
          <w:numId w:val="16"/>
        </w:numPr>
        <w:spacing w:before="120" w:after="120" w:line="360" w:lineRule="auto"/>
      </w:pPr>
      <w:r>
        <w:t>A</w:t>
      </w:r>
      <w:r w:rsidR="00FF4241" w:rsidRPr="00A65E62">
        <w:t xml:space="preserve">pproval from relevant </w:t>
      </w:r>
      <w:r w:rsidR="00A65E62">
        <w:t>bodies</w:t>
      </w:r>
    </w:p>
    <w:p w14:paraId="4562A11A" w14:textId="79E944B4" w:rsidR="00A65E62" w:rsidRDefault="00FF4241" w:rsidP="00A65E62">
      <w:pPr>
        <w:pStyle w:val="ListParagraph"/>
        <w:numPr>
          <w:ilvl w:val="1"/>
          <w:numId w:val="16"/>
        </w:numPr>
        <w:spacing w:before="120" w:after="120" w:line="360" w:lineRule="auto"/>
      </w:pPr>
      <w:r w:rsidRPr="00A65E62">
        <w:t>Department</w:t>
      </w:r>
      <w:r w:rsidR="00A65E62">
        <w:t xml:space="preserve"> Head</w:t>
      </w:r>
    </w:p>
    <w:p w14:paraId="1049F25F" w14:textId="702C0A70" w:rsidR="00A65E62" w:rsidRDefault="00FF4241" w:rsidP="00A65E62">
      <w:pPr>
        <w:pStyle w:val="ListParagraph"/>
        <w:numPr>
          <w:ilvl w:val="1"/>
          <w:numId w:val="16"/>
        </w:numPr>
        <w:spacing w:before="120" w:after="120" w:line="360" w:lineRule="auto"/>
      </w:pPr>
      <w:r w:rsidRPr="00A65E62">
        <w:t xml:space="preserve">POWH </w:t>
      </w:r>
      <w:r w:rsidR="00A65E62">
        <w:t>Executive</w:t>
      </w:r>
      <w:r w:rsidRPr="00A65E62">
        <w:t xml:space="preserve"> </w:t>
      </w:r>
      <w:r w:rsidR="00103988">
        <w:t>where relevant</w:t>
      </w:r>
    </w:p>
    <w:p w14:paraId="36BB50C8" w14:textId="732426C7" w:rsidR="00FF4241" w:rsidRPr="00103988" w:rsidRDefault="00FF4241" w:rsidP="00A65E62">
      <w:pPr>
        <w:pStyle w:val="ListParagraph"/>
        <w:numPr>
          <w:ilvl w:val="1"/>
          <w:numId w:val="16"/>
        </w:numPr>
        <w:spacing w:before="120" w:after="120" w:line="360" w:lineRule="auto"/>
      </w:pPr>
      <w:r w:rsidRPr="00103988">
        <w:t>Ethics Committee</w:t>
      </w:r>
      <w:r w:rsidR="00103988">
        <w:rPr>
          <w:i/>
          <w:iCs/>
        </w:rPr>
        <w:t xml:space="preserve"> </w:t>
      </w:r>
      <w:r w:rsidR="00103988" w:rsidRPr="00103988">
        <w:t>where relevant</w:t>
      </w:r>
    </w:p>
    <w:p w14:paraId="29A22B56" w14:textId="757E3009" w:rsidR="00FF4241" w:rsidRDefault="00FF4241" w:rsidP="00841AF1">
      <w:pPr>
        <w:pStyle w:val="ListParagraph"/>
        <w:numPr>
          <w:ilvl w:val="0"/>
          <w:numId w:val="16"/>
        </w:numPr>
        <w:spacing w:before="120" w:after="120" w:line="360" w:lineRule="auto"/>
      </w:pPr>
      <w:r w:rsidRPr="00FF4241">
        <w:rPr>
          <w:b/>
          <w:bCs/>
        </w:rPr>
        <w:t>P</w:t>
      </w:r>
      <w:r w:rsidRPr="008D1C0C">
        <w:t xml:space="preserve">roject </w:t>
      </w:r>
      <w:r w:rsidR="00A65E62">
        <w:t xml:space="preserve">funding is unavailable in existing departmental </w:t>
      </w:r>
      <w:proofErr w:type="gramStart"/>
      <w:r w:rsidR="00A65E62">
        <w:t>budget</w:t>
      </w:r>
      <w:proofErr w:type="gramEnd"/>
    </w:p>
    <w:p w14:paraId="1AEB3426" w14:textId="157736D2" w:rsidR="00FF4241" w:rsidRPr="008D1C0C" w:rsidRDefault="00FF4241" w:rsidP="00841AF1">
      <w:pPr>
        <w:pStyle w:val="ListParagraph"/>
        <w:numPr>
          <w:ilvl w:val="0"/>
          <w:numId w:val="16"/>
        </w:numPr>
        <w:spacing w:before="120" w:after="120" w:line="360" w:lineRule="auto"/>
      </w:pPr>
      <w:r w:rsidRPr="008D1C0C">
        <w:t xml:space="preserve">Commitment to </w:t>
      </w:r>
      <w:r>
        <w:t xml:space="preserve">6 and 12-month progress </w:t>
      </w:r>
      <w:r w:rsidRPr="008D1C0C">
        <w:t xml:space="preserve">reporting to the </w:t>
      </w:r>
      <w:r w:rsidR="004F6EAA">
        <w:t>Foundation</w:t>
      </w:r>
    </w:p>
    <w:p w14:paraId="7D0D6234" w14:textId="77777777" w:rsidR="00FF4241" w:rsidRDefault="00FF4241" w:rsidP="00FF4241">
      <w:pPr>
        <w:spacing w:before="120" w:after="120"/>
      </w:pPr>
      <w:r w:rsidRPr="00FF4241">
        <w:t xml:space="preserve">4.4 Grant applications </w:t>
      </w:r>
      <w:r w:rsidRPr="00FF4241">
        <w:rPr>
          <w:b/>
          <w:bCs/>
        </w:rPr>
        <w:t>over $5,000</w:t>
      </w:r>
      <w:r w:rsidRPr="00FF4241">
        <w:t xml:space="preserve"> must also </w:t>
      </w:r>
      <w:proofErr w:type="gramStart"/>
      <w:r w:rsidRPr="00FF4241">
        <w:t>demonstrate</w:t>
      </w:r>
      <w:proofErr w:type="gramEnd"/>
    </w:p>
    <w:p w14:paraId="74B6E330" w14:textId="3848681F" w:rsidR="00FF4241" w:rsidRPr="00FF4241" w:rsidRDefault="00FF4241" w:rsidP="00835DF9">
      <w:pPr>
        <w:pStyle w:val="ListParagraph"/>
        <w:numPr>
          <w:ilvl w:val="0"/>
          <w:numId w:val="18"/>
        </w:numPr>
        <w:spacing w:before="120" w:after="120" w:line="360" w:lineRule="auto"/>
      </w:pPr>
      <w:r w:rsidRPr="00FF4241">
        <w:t>Clear project design and methodology</w:t>
      </w:r>
    </w:p>
    <w:p w14:paraId="32A88D51" w14:textId="3C0840AC" w:rsidR="00FF4241" w:rsidRDefault="00835DF9" w:rsidP="00835DF9">
      <w:pPr>
        <w:pStyle w:val="ListParagraph"/>
        <w:numPr>
          <w:ilvl w:val="0"/>
          <w:numId w:val="18"/>
        </w:numPr>
        <w:spacing w:before="120" w:after="120" w:line="360" w:lineRule="auto"/>
      </w:pPr>
      <w:r>
        <w:t xml:space="preserve">An itemised budget, detailing all </w:t>
      </w:r>
      <w:proofErr w:type="gramStart"/>
      <w:r>
        <w:t>expenses</w:t>
      </w:r>
      <w:proofErr w:type="gramEnd"/>
    </w:p>
    <w:p w14:paraId="26DB5330" w14:textId="780AE97B" w:rsidR="00FF4241" w:rsidRPr="00FF4241" w:rsidRDefault="00FF4241" w:rsidP="00835DF9">
      <w:pPr>
        <w:pStyle w:val="ListParagraph"/>
        <w:numPr>
          <w:ilvl w:val="0"/>
          <w:numId w:val="18"/>
        </w:numPr>
        <w:spacing w:line="360" w:lineRule="auto"/>
      </w:pPr>
      <w:r w:rsidRPr="00FF4241">
        <w:t xml:space="preserve">Details of any other funding obtained or partnerships supporting the </w:t>
      </w:r>
      <w:proofErr w:type="gramStart"/>
      <w:r w:rsidRPr="00FF4241">
        <w:t>project</w:t>
      </w:r>
      <w:proofErr w:type="gramEnd"/>
    </w:p>
    <w:p w14:paraId="47DE72C6" w14:textId="111A0615" w:rsidR="00FF4241" w:rsidRDefault="00FF4241" w:rsidP="00835DF9">
      <w:pPr>
        <w:pStyle w:val="ListParagraph"/>
        <w:numPr>
          <w:ilvl w:val="0"/>
          <w:numId w:val="18"/>
        </w:numPr>
        <w:spacing w:before="120" w:after="120" w:line="360" w:lineRule="auto"/>
      </w:pPr>
      <w:r>
        <w:t>A timeline where relevant</w:t>
      </w:r>
    </w:p>
    <w:p w14:paraId="2E681E09" w14:textId="408868B5" w:rsidR="00FF4241" w:rsidRPr="00FF4241" w:rsidRDefault="00FF4241" w:rsidP="00835DF9">
      <w:pPr>
        <w:pStyle w:val="ListParagraph"/>
        <w:numPr>
          <w:ilvl w:val="0"/>
          <w:numId w:val="18"/>
        </w:numPr>
        <w:spacing w:before="120" w:after="120" w:line="360" w:lineRule="auto"/>
      </w:pPr>
      <w:r>
        <w:t>Supporting documentation where relevant</w:t>
      </w:r>
    </w:p>
    <w:p w14:paraId="707FE8EB" w14:textId="2E82AF33" w:rsidR="00DD76FD" w:rsidRPr="00670CFF" w:rsidRDefault="00DD76FD" w:rsidP="00DD76FD">
      <w:pPr>
        <w:rPr>
          <w:u w:val="single"/>
        </w:rPr>
      </w:pPr>
      <w:r w:rsidRPr="00670CFF">
        <w:rPr>
          <w:u w:val="single"/>
        </w:rPr>
        <w:t>5. PRIORITY CONSIDERATION</w:t>
      </w:r>
    </w:p>
    <w:p w14:paraId="761776A7" w14:textId="6434ADAA" w:rsidR="00DD76FD" w:rsidRDefault="00DD76FD" w:rsidP="00DD76FD">
      <w:r>
        <w:t>5.1 Priority will be provided to projects with:</w:t>
      </w:r>
    </w:p>
    <w:p w14:paraId="7D2FEB76" w14:textId="77777777" w:rsidR="00DD76FD" w:rsidRDefault="00DD76FD" w:rsidP="00835DF9">
      <w:pPr>
        <w:pStyle w:val="ListParagraph"/>
        <w:numPr>
          <w:ilvl w:val="0"/>
          <w:numId w:val="19"/>
        </w:numPr>
        <w:spacing w:line="360" w:lineRule="auto"/>
      </w:pPr>
      <w:r>
        <w:t xml:space="preserve">the greatest “exponential” benefit – </w:t>
      </w:r>
      <w:proofErr w:type="spellStart"/>
      <w:r>
        <w:t>ie</w:t>
      </w:r>
      <w:proofErr w:type="spellEnd"/>
      <w:r>
        <w:t>. ultimately benefiting the greatest number of patients and/or staff</w:t>
      </w:r>
    </w:p>
    <w:p w14:paraId="32690561" w14:textId="77777777" w:rsidR="00DD76FD" w:rsidRPr="003F4873" w:rsidRDefault="00DD76FD" w:rsidP="00835DF9">
      <w:pPr>
        <w:pStyle w:val="ListParagraph"/>
        <w:numPr>
          <w:ilvl w:val="0"/>
          <w:numId w:val="19"/>
        </w:numPr>
        <w:spacing w:line="360" w:lineRule="auto"/>
      </w:pPr>
      <w:r w:rsidRPr="003F4873">
        <w:t xml:space="preserve">“Seed funding” </w:t>
      </w:r>
      <w:r>
        <w:t xml:space="preserve">potential </w:t>
      </w:r>
      <w:r w:rsidRPr="003F4873">
        <w:t xml:space="preserve">– early project funding whose results can lead to subsequent investment from other funding bodies for a multiplier </w:t>
      </w:r>
      <w:proofErr w:type="gramStart"/>
      <w:r w:rsidRPr="003F4873">
        <w:t>effect</w:t>
      </w:r>
      <w:proofErr w:type="gramEnd"/>
    </w:p>
    <w:p w14:paraId="0200294B" w14:textId="77777777" w:rsidR="00DD76FD" w:rsidRPr="003F4873" w:rsidRDefault="00DD76FD" w:rsidP="00835DF9">
      <w:pPr>
        <w:pStyle w:val="ListParagraph"/>
        <w:numPr>
          <w:ilvl w:val="0"/>
          <w:numId w:val="19"/>
        </w:numPr>
        <w:spacing w:line="360" w:lineRule="auto"/>
      </w:pPr>
      <w:r w:rsidRPr="003F4873">
        <w:t>Research whose scientific outcomes can be applied to patient care (“translational” research)</w:t>
      </w:r>
    </w:p>
    <w:p w14:paraId="5B3CC78F" w14:textId="77777777" w:rsidR="00DD76FD" w:rsidRPr="003F4873" w:rsidRDefault="00DD76FD" w:rsidP="00835DF9">
      <w:pPr>
        <w:pStyle w:val="ListParagraph"/>
        <w:numPr>
          <w:ilvl w:val="0"/>
          <w:numId w:val="19"/>
        </w:numPr>
        <w:spacing w:line="360" w:lineRule="auto"/>
      </w:pPr>
      <w:r w:rsidRPr="003F4873">
        <w:t>Projects whose outcome leads to a reduction of cost/burden and/or a boost in efficiencies.</w:t>
      </w:r>
    </w:p>
    <w:p w14:paraId="45C0A453" w14:textId="6D4B483A" w:rsidR="00DD76FD" w:rsidRPr="003F4873" w:rsidRDefault="00A1388B" w:rsidP="00DD76FD">
      <w:pPr>
        <w:ind w:left="45"/>
      </w:pPr>
      <w:r>
        <w:t xml:space="preserve">5.2 </w:t>
      </w:r>
      <w:r w:rsidR="00835DF9" w:rsidRPr="00835DF9">
        <w:t>Consideration</w:t>
      </w:r>
      <w:r w:rsidR="00DD76FD" w:rsidRPr="00835DF9">
        <w:t xml:space="preserve"> </w:t>
      </w:r>
      <w:r w:rsidRPr="00835DF9">
        <w:t xml:space="preserve">will </w:t>
      </w:r>
      <w:r w:rsidR="00835DF9" w:rsidRPr="00835DF9">
        <w:t xml:space="preserve">be </w:t>
      </w:r>
      <w:r w:rsidR="00DD76FD" w:rsidRPr="00835DF9">
        <w:t>given</w:t>
      </w:r>
      <w:r w:rsidR="00DD76FD" w:rsidRPr="003F4873">
        <w:t xml:space="preserve"> to first time applicants</w:t>
      </w:r>
      <w:r w:rsidR="00835DF9">
        <w:t>.</w:t>
      </w:r>
    </w:p>
    <w:p w14:paraId="5FC57F12" w14:textId="467DF6DF" w:rsidR="0057211D" w:rsidRDefault="0057211D" w:rsidP="0057211D"/>
    <w:p w14:paraId="5B26CEDB" w14:textId="77777777" w:rsidR="00002A31" w:rsidRDefault="00002A31" w:rsidP="0057211D"/>
    <w:p w14:paraId="2B4F9B7B" w14:textId="77777777" w:rsidR="00002A31" w:rsidRDefault="00002A31" w:rsidP="0057211D"/>
    <w:p w14:paraId="6E55AC54" w14:textId="376C34AA" w:rsidR="00D5340D" w:rsidRPr="00013971" w:rsidRDefault="00A1388B" w:rsidP="00D5340D">
      <w:pPr>
        <w:rPr>
          <w:u w:val="single"/>
        </w:rPr>
      </w:pPr>
      <w:r>
        <w:rPr>
          <w:u w:val="single"/>
        </w:rPr>
        <w:lastRenderedPageBreak/>
        <w:t>6</w:t>
      </w:r>
      <w:r w:rsidR="00D5340D" w:rsidRPr="00013971">
        <w:rPr>
          <w:u w:val="single"/>
        </w:rPr>
        <w:t>. APPLICATION PROCESS</w:t>
      </w:r>
    </w:p>
    <w:p w14:paraId="67C10587" w14:textId="6AEB747A" w:rsidR="00D5340D" w:rsidRDefault="00A1388B" w:rsidP="00D5340D">
      <w:r>
        <w:t>6</w:t>
      </w:r>
      <w:r w:rsidR="00D5340D">
        <w:t xml:space="preserve">.1 Applications to be submitted online through the Foundation’s website at </w:t>
      </w:r>
      <w:r w:rsidR="00EF4126" w:rsidRPr="00FC05AA">
        <w:t>powhf.org.au/</w:t>
      </w:r>
      <w:proofErr w:type="gramStart"/>
      <w:r w:rsidR="00EF4126" w:rsidRPr="00FC05AA">
        <w:t>grants</w:t>
      </w:r>
      <w:proofErr w:type="gramEnd"/>
    </w:p>
    <w:p w14:paraId="72FE0559" w14:textId="4CF0128E" w:rsidR="00D5340D" w:rsidRDefault="00A1388B" w:rsidP="00D5340D">
      <w:r>
        <w:t>6.2</w:t>
      </w:r>
      <w:r w:rsidR="00D5340D">
        <w:t xml:space="preserve"> Grant applications under $5,000 will only require completion of Part 1 application form.</w:t>
      </w:r>
    </w:p>
    <w:p w14:paraId="16202A76" w14:textId="4C432466" w:rsidR="00D5340D" w:rsidRDefault="00A1388B" w:rsidP="00D5340D">
      <w:r>
        <w:t>6.3</w:t>
      </w:r>
      <w:r w:rsidR="00D5340D">
        <w:t xml:space="preserve"> Grant applications over $5,000 will require more detail by completion of Part 1 and Part 2 application forms.</w:t>
      </w:r>
    </w:p>
    <w:p w14:paraId="6B099F8C" w14:textId="12FAB42F" w:rsidR="00D5340D" w:rsidRDefault="00A1388B" w:rsidP="00D5340D">
      <w:r>
        <w:t>6.4</w:t>
      </w:r>
      <w:r w:rsidR="00D5340D">
        <w:t xml:space="preserve"> Upload attachments to the application web portal alongside the application.</w:t>
      </w:r>
    </w:p>
    <w:p w14:paraId="42C9151D" w14:textId="7910CB40" w:rsidR="00D5340D" w:rsidRDefault="00A1388B" w:rsidP="00D5340D">
      <w:r>
        <w:t>6</w:t>
      </w:r>
      <w:r w:rsidR="00D5340D">
        <w:t xml:space="preserve">.5 Applicants may apply for more than one grant, but a separate application must be submitted for each grant requested. </w:t>
      </w:r>
    </w:p>
    <w:p w14:paraId="14523EA1" w14:textId="3EAFE8CF" w:rsidR="0071381A" w:rsidRDefault="0071381A" w:rsidP="00D5340D">
      <w:r w:rsidRPr="00835DF9">
        <w:t>6.6 If there are quotes to support the budget, please attach them to the application online.</w:t>
      </w:r>
    </w:p>
    <w:p w14:paraId="6974A5C5" w14:textId="17C8C8B4" w:rsidR="00FF4241" w:rsidRPr="00381693" w:rsidRDefault="00AE6DCD" w:rsidP="0057211D">
      <w:pPr>
        <w:rPr>
          <w:u w:val="single"/>
        </w:rPr>
      </w:pPr>
      <w:r>
        <w:rPr>
          <w:u w:val="single"/>
        </w:rPr>
        <w:t xml:space="preserve">7. </w:t>
      </w:r>
      <w:r w:rsidR="00381693">
        <w:rPr>
          <w:u w:val="single"/>
        </w:rPr>
        <w:t xml:space="preserve">ADDITIONAL </w:t>
      </w:r>
      <w:r w:rsidR="00D5340D" w:rsidRPr="00381693">
        <w:rPr>
          <w:u w:val="single"/>
        </w:rPr>
        <w:t>CATEGORY-SPECIFIC CRITERIA</w:t>
      </w:r>
    </w:p>
    <w:p w14:paraId="4EE52E7B" w14:textId="1ACD7C70" w:rsidR="00D5340D" w:rsidRPr="00381693" w:rsidRDefault="00AE6DCD" w:rsidP="00AC3F4F">
      <w:pPr>
        <w:spacing w:line="240" w:lineRule="auto"/>
        <w:rPr>
          <w:b/>
          <w:bCs/>
        </w:rPr>
      </w:pPr>
      <w:r>
        <w:rPr>
          <w:b/>
          <w:bCs/>
        </w:rPr>
        <w:t xml:space="preserve">7.1 </w:t>
      </w:r>
      <w:r w:rsidR="00D5340D" w:rsidRPr="00381693">
        <w:rPr>
          <w:b/>
          <w:bCs/>
        </w:rPr>
        <w:t>Research</w:t>
      </w:r>
      <w:r w:rsidR="00835DF9">
        <w:rPr>
          <w:b/>
          <w:bCs/>
        </w:rPr>
        <w:t xml:space="preserve"> (Senior/Novice)</w:t>
      </w:r>
    </w:p>
    <w:p w14:paraId="7D39C8F0" w14:textId="08A43737" w:rsidR="00D5340D" w:rsidRDefault="00D5340D" w:rsidP="00AC3F4F">
      <w:pPr>
        <w:pStyle w:val="ListParagraph"/>
        <w:numPr>
          <w:ilvl w:val="0"/>
          <w:numId w:val="20"/>
        </w:numPr>
        <w:spacing w:line="240" w:lineRule="auto"/>
      </w:pPr>
      <w:r>
        <w:t>Research grants are designed to support clinical research</w:t>
      </w:r>
      <w:r w:rsidR="00A1388B">
        <w:t xml:space="preserve"> and there must be clear scientific merit.</w:t>
      </w:r>
    </w:p>
    <w:p w14:paraId="1EE6F4ED" w14:textId="6D08BEAB" w:rsidR="00A1388B" w:rsidRPr="00A1388B" w:rsidRDefault="00A1388B" w:rsidP="00835DF9">
      <w:pPr>
        <w:pStyle w:val="ListParagraph"/>
        <w:numPr>
          <w:ilvl w:val="0"/>
          <w:numId w:val="20"/>
        </w:numPr>
      </w:pPr>
      <w:r w:rsidRPr="00A1388B">
        <w:t xml:space="preserve">Research must be ready to commence within 3 months of award date </w:t>
      </w:r>
      <w:r w:rsidR="00835DF9">
        <w:t>unless otherwise approved by the Foundation.</w:t>
      </w:r>
    </w:p>
    <w:p w14:paraId="5A040106" w14:textId="095C0E2D" w:rsidR="00D5340D" w:rsidRPr="00D63E99" w:rsidRDefault="00D5340D" w:rsidP="003B73AA">
      <w:pPr>
        <w:pStyle w:val="ListParagraph"/>
        <w:numPr>
          <w:ilvl w:val="0"/>
          <w:numId w:val="20"/>
        </w:numPr>
      </w:pPr>
      <w:r w:rsidRPr="003B73AA">
        <w:t xml:space="preserve">Research projects must be formally approved in writing by the Department </w:t>
      </w:r>
      <w:r w:rsidR="003B73AA" w:rsidRPr="003B73AA">
        <w:t>H</w:t>
      </w:r>
      <w:r w:rsidRPr="003B73AA">
        <w:t>ead and Ethics</w:t>
      </w:r>
      <w:r w:rsidR="00835DF9" w:rsidRPr="003B73AA">
        <w:t xml:space="preserve"> </w:t>
      </w:r>
      <w:r w:rsidR="003B73AA">
        <w:t>where relevant.</w:t>
      </w:r>
    </w:p>
    <w:p w14:paraId="05FCBE73" w14:textId="0369CB78" w:rsidR="00381693" w:rsidRPr="00547E4D" w:rsidRDefault="00381693" w:rsidP="00835DF9">
      <w:pPr>
        <w:pStyle w:val="ListParagraph"/>
        <w:numPr>
          <w:ilvl w:val="0"/>
          <w:numId w:val="20"/>
        </w:numPr>
      </w:pPr>
      <w:r w:rsidRPr="00547E4D">
        <w:t>Requests for FTEs must not impact on current staffing levels without Department Lead approval</w:t>
      </w:r>
      <w:r w:rsidR="00C51856">
        <w:t>.</w:t>
      </w:r>
    </w:p>
    <w:p w14:paraId="5C515EC1" w14:textId="55378605" w:rsidR="00C51856" w:rsidRPr="00C51856" w:rsidRDefault="00AE6DCD" w:rsidP="00AC3F4F">
      <w:pPr>
        <w:spacing w:line="240" w:lineRule="auto"/>
        <w:rPr>
          <w:b/>
          <w:bCs/>
        </w:rPr>
      </w:pPr>
      <w:r>
        <w:rPr>
          <w:b/>
          <w:bCs/>
        </w:rPr>
        <w:t xml:space="preserve">7.2 </w:t>
      </w:r>
      <w:r w:rsidR="00C51856" w:rsidRPr="00C51856">
        <w:rPr>
          <w:b/>
          <w:bCs/>
        </w:rPr>
        <w:t>Education</w:t>
      </w:r>
    </w:p>
    <w:p w14:paraId="7CF51B73" w14:textId="41043BE1" w:rsidR="00C51856" w:rsidRPr="00C51856" w:rsidRDefault="00C51856" w:rsidP="00AC3F4F">
      <w:pPr>
        <w:pStyle w:val="ListParagraph"/>
        <w:numPr>
          <w:ilvl w:val="0"/>
          <w:numId w:val="21"/>
        </w:numPr>
        <w:spacing w:line="240" w:lineRule="auto"/>
      </w:pPr>
      <w:r w:rsidRPr="00C51856">
        <w:t xml:space="preserve">This category is for initiatives which will support or develop an education initiative for staff, or attendance/presentation at a relevant professional domestic or international conference. </w:t>
      </w:r>
    </w:p>
    <w:p w14:paraId="41A046AA" w14:textId="57883805" w:rsidR="00C51856" w:rsidRDefault="00C51856" w:rsidP="00BA41AB">
      <w:pPr>
        <w:pStyle w:val="ListParagraph"/>
        <w:numPr>
          <w:ilvl w:val="0"/>
          <w:numId w:val="21"/>
        </w:numPr>
      </w:pPr>
      <w:r w:rsidRPr="00C51856">
        <w:t>Conference Support must relate to one or more staff at a relevant professional conference where there is no alternative source of funding</w:t>
      </w:r>
      <w:r>
        <w:t xml:space="preserve"> or financial assistance. </w:t>
      </w:r>
    </w:p>
    <w:p w14:paraId="73A3651B" w14:textId="77777777" w:rsidR="00C51856" w:rsidRDefault="00C51856" w:rsidP="00BA41AB">
      <w:pPr>
        <w:pStyle w:val="ListParagraph"/>
        <w:numPr>
          <w:ilvl w:val="0"/>
          <w:numId w:val="21"/>
        </w:numPr>
      </w:pPr>
      <w:r>
        <w:t xml:space="preserve">Funding towards postgraduate education programs will not be considered. </w:t>
      </w:r>
    </w:p>
    <w:p w14:paraId="06613CAC" w14:textId="68933E88" w:rsidR="00C51856" w:rsidRPr="00BA41AB" w:rsidRDefault="00C51856" w:rsidP="00BA41AB">
      <w:pPr>
        <w:pStyle w:val="ListParagraph"/>
        <w:numPr>
          <w:ilvl w:val="0"/>
          <w:numId w:val="21"/>
        </w:numPr>
      </w:pPr>
      <w:r w:rsidRPr="00BA41AB">
        <w:t xml:space="preserve">Group applications for Staff Education Initiatives will be considered if they are not the core business of POWH staff. </w:t>
      </w:r>
    </w:p>
    <w:p w14:paraId="3F907AD7" w14:textId="77777777" w:rsidR="00C51856" w:rsidRDefault="00C51856" w:rsidP="00BA41AB">
      <w:pPr>
        <w:pStyle w:val="ListParagraph"/>
        <w:numPr>
          <w:ilvl w:val="0"/>
          <w:numId w:val="21"/>
        </w:numPr>
      </w:pPr>
      <w:r>
        <w:t xml:space="preserve">Applications for Staff Education Initiatives must demonstrate mitigation strategies should staffing be affected. These must be presented to the relevant Program Lead. </w:t>
      </w:r>
    </w:p>
    <w:p w14:paraId="030DA815" w14:textId="2EB907F4" w:rsidR="00C51856" w:rsidRDefault="00C51856" w:rsidP="00BA41AB">
      <w:pPr>
        <w:pStyle w:val="ListParagraph"/>
        <w:numPr>
          <w:ilvl w:val="0"/>
          <w:numId w:val="21"/>
        </w:numPr>
      </w:pPr>
      <w:r>
        <w:t>Conference Support funding must be directed towards covering economy flights, accommodation, or conference costs for the applicant only. Agreed funding may not cover all costs associated with attendance.</w:t>
      </w:r>
    </w:p>
    <w:p w14:paraId="60D3C810" w14:textId="0F340B16" w:rsidR="00FF4241" w:rsidRDefault="00AE6DCD" w:rsidP="00AC3F4F">
      <w:pPr>
        <w:spacing w:line="240" w:lineRule="auto"/>
      </w:pPr>
      <w:r>
        <w:rPr>
          <w:b/>
          <w:bCs/>
        </w:rPr>
        <w:t xml:space="preserve">7.3 </w:t>
      </w:r>
      <w:r w:rsidR="00C24A1B" w:rsidRPr="00C24A1B">
        <w:rPr>
          <w:b/>
          <w:bCs/>
        </w:rPr>
        <w:t>Innovation</w:t>
      </w:r>
    </w:p>
    <w:p w14:paraId="30EA916C" w14:textId="0D6DDD83" w:rsidR="00C24A1B" w:rsidRPr="00977786" w:rsidRDefault="00C24A1B" w:rsidP="00AC3F4F">
      <w:pPr>
        <w:pStyle w:val="ListParagraph"/>
        <w:numPr>
          <w:ilvl w:val="0"/>
          <w:numId w:val="22"/>
        </w:numPr>
        <w:spacing w:line="240" w:lineRule="auto"/>
        <w:rPr>
          <w:i/>
          <w:iCs/>
        </w:rPr>
      </w:pPr>
      <w:r w:rsidRPr="00977786">
        <w:t xml:space="preserve">Innovation supports projects that </w:t>
      </w:r>
      <w:r w:rsidR="008D604B" w:rsidRPr="00977786">
        <w:t>aim to create an improved outcome by changing existing models, or implementing new practices that benefit staff and/or patien</w:t>
      </w:r>
      <w:r w:rsidR="006922DB" w:rsidRPr="00977786">
        <w:t>t</w:t>
      </w:r>
      <w:r w:rsidR="008D604B" w:rsidRPr="00977786">
        <w:t xml:space="preserve">s. </w:t>
      </w:r>
    </w:p>
    <w:p w14:paraId="2DD3667B" w14:textId="48410A4A" w:rsidR="00332531" w:rsidRPr="00BE7BCB" w:rsidRDefault="00AE6DCD" w:rsidP="00332531">
      <w:pPr>
        <w:rPr>
          <w:b/>
          <w:bCs/>
        </w:rPr>
      </w:pPr>
      <w:r>
        <w:rPr>
          <w:b/>
          <w:bCs/>
        </w:rPr>
        <w:t xml:space="preserve">7.4 </w:t>
      </w:r>
      <w:r w:rsidR="00332531">
        <w:rPr>
          <w:b/>
          <w:bCs/>
        </w:rPr>
        <w:t>Wellbeing</w:t>
      </w:r>
    </w:p>
    <w:p w14:paraId="220F3602" w14:textId="77777777" w:rsidR="00332531" w:rsidRDefault="00332531" w:rsidP="00B77C57">
      <w:pPr>
        <w:pStyle w:val="ListParagraph"/>
        <w:numPr>
          <w:ilvl w:val="0"/>
          <w:numId w:val="23"/>
        </w:numPr>
      </w:pPr>
      <w:r>
        <w:t>This category supports p</w:t>
      </w:r>
      <w:r w:rsidRPr="008D1C0C">
        <w:t>ositive physical and emotional outcomes for staff and patients</w:t>
      </w:r>
      <w:r>
        <w:t xml:space="preserve"> such as </w:t>
      </w:r>
      <w:r w:rsidRPr="00B63595">
        <w:t>staff resilience training programs</w:t>
      </w:r>
      <w:r>
        <w:t xml:space="preserve"> or initiatives to improve the patient’s in-hospital experience.</w:t>
      </w:r>
    </w:p>
    <w:p w14:paraId="32F3F2BB" w14:textId="551A7079" w:rsidR="00D5340D" w:rsidRPr="00332531" w:rsidRDefault="00AE6DCD" w:rsidP="00DD76FD">
      <w:pPr>
        <w:rPr>
          <w:u w:val="single"/>
        </w:rPr>
      </w:pPr>
      <w:r>
        <w:rPr>
          <w:u w:val="single"/>
        </w:rPr>
        <w:lastRenderedPageBreak/>
        <w:t xml:space="preserve">8. </w:t>
      </w:r>
      <w:r w:rsidR="00D5340D" w:rsidRPr="00332531">
        <w:rPr>
          <w:u w:val="single"/>
        </w:rPr>
        <w:t xml:space="preserve">EVALUATION </w:t>
      </w:r>
      <w:r w:rsidR="00332531">
        <w:rPr>
          <w:u w:val="single"/>
        </w:rPr>
        <w:t>AND AWARDING</w:t>
      </w:r>
    </w:p>
    <w:p w14:paraId="071F54DC" w14:textId="1F3028E5" w:rsidR="00DD76FD" w:rsidRPr="00B77C57" w:rsidRDefault="00AE6DCD" w:rsidP="00DD76FD">
      <w:r>
        <w:t>8.1</w:t>
      </w:r>
      <w:r w:rsidR="00DD76FD">
        <w:t xml:space="preserve"> Assessment of all applications will be conducted by </w:t>
      </w:r>
      <w:r w:rsidR="00DD76FD" w:rsidRPr="00B77C57">
        <w:t>the Grants Review Team (GRT) which will include POWH staff nominated by the Chairman of the POWHF Board Clinical and Research Committee</w:t>
      </w:r>
      <w:r w:rsidR="00332531" w:rsidRPr="00B77C57">
        <w:t>.</w:t>
      </w:r>
    </w:p>
    <w:p w14:paraId="7520F287" w14:textId="58C866AE" w:rsidR="00332531" w:rsidRDefault="00AE6DCD" w:rsidP="00DD76FD">
      <w:r w:rsidRPr="00B77C57">
        <w:t xml:space="preserve">8.2 </w:t>
      </w:r>
      <w:r w:rsidR="00332531" w:rsidRPr="00B77C57">
        <w:t>All applications will be evaluated based on their merit and their adherence to the criteria mentioned herein.</w:t>
      </w:r>
      <w:r>
        <w:t xml:space="preserve"> </w:t>
      </w:r>
    </w:p>
    <w:p w14:paraId="149258E2" w14:textId="6DF0F754" w:rsidR="00DD76FD" w:rsidRDefault="00AE6DCD" w:rsidP="00DD76FD">
      <w:r>
        <w:t>8.3</w:t>
      </w:r>
      <w:r w:rsidR="00DD76FD">
        <w:t xml:space="preserve"> The Foundation reserves the right to offer partial funding to successful applicants.</w:t>
      </w:r>
    </w:p>
    <w:p w14:paraId="4D689364" w14:textId="34E45206" w:rsidR="00DD76FD" w:rsidRPr="00B77C57" w:rsidRDefault="00AE6DCD" w:rsidP="00DD76FD">
      <w:r>
        <w:t>8.4</w:t>
      </w:r>
      <w:r w:rsidR="00DD76FD">
        <w:t xml:space="preserve"> Applicants will be advised of the outcome of their application at the </w:t>
      </w:r>
      <w:r w:rsidR="00DD76FD" w:rsidRPr="00B77C57">
        <w:t xml:space="preserve">August POWH General </w:t>
      </w:r>
    </w:p>
    <w:p w14:paraId="3FEB537F" w14:textId="7B9FD2F0" w:rsidR="00DD76FD" w:rsidRDefault="00DD76FD" w:rsidP="00DD76FD">
      <w:r w:rsidRPr="00B77C57">
        <w:t>Manager’s Staff Forum</w:t>
      </w:r>
      <w:r>
        <w:t xml:space="preserve"> and advised in writing immediately after the announcement. </w:t>
      </w:r>
    </w:p>
    <w:p w14:paraId="41EF05C1" w14:textId="71D56F8A" w:rsidR="00DD76FD" w:rsidRDefault="00AE6DCD" w:rsidP="00DD76FD">
      <w:r>
        <w:t>8.5</w:t>
      </w:r>
      <w:r w:rsidR="00DD76FD">
        <w:t xml:space="preserve"> Successful grant applications will be listed on the Foundation’s website.</w:t>
      </w:r>
    </w:p>
    <w:p w14:paraId="09BC960F" w14:textId="05B0BD51" w:rsidR="00DD76FD" w:rsidRDefault="00AE6DCD" w:rsidP="00DD76FD">
      <w:r>
        <w:t>8.6</w:t>
      </w:r>
      <w:r w:rsidR="00DD76FD">
        <w:t xml:space="preserve"> Decisions are deemed final and there is no process for appeal. </w:t>
      </w:r>
    </w:p>
    <w:p w14:paraId="6D579AE3" w14:textId="77777777" w:rsidR="00397704" w:rsidRDefault="00397704" w:rsidP="00DD76FD"/>
    <w:p w14:paraId="22D561DE" w14:textId="19D92BFF" w:rsidR="00DD76FD" w:rsidRPr="00AE6DCD" w:rsidRDefault="00AE6DCD" w:rsidP="00DD76FD">
      <w:pPr>
        <w:rPr>
          <w:u w:val="single"/>
        </w:rPr>
      </w:pPr>
      <w:r w:rsidRPr="00AE6DCD">
        <w:rPr>
          <w:u w:val="single"/>
        </w:rPr>
        <w:t>9</w:t>
      </w:r>
      <w:r w:rsidR="00DD76FD" w:rsidRPr="00AE6DCD">
        <w:rPr>
          <w:u w:val="single"/>
        </w:rPr>
        <w:t>. CONDITIONS OF SUCCESSFUL GRANT AWARDS</w:t>
      </w:r>
    </w:p>
    <w:p w14:paraId="6F183FC3" w14:textId="26B47629" w:rsidR="00DD76FD" w:rsidRDefault="00AE6DCD" w:rsidP="00DD76FD">
      <w:r>
        <w:t>9</w:t>
      </w:r>
      <w:r w:rsidR="00DD76FD">
        <w:t>.1 Allocated grant funding is required to be disbursed by Ju</w:t>
      </w:r>
      <w:r w:rsidR="00B77C57">
        <w:t>ne</w:t>
      </w:r>
      <w:r w:rsidR="00DD76FD">
        <w:t xml:space="preserve"> 2024. </w:t>
      </w:r>
    </w:p>
    <w:p w14:paraId="10530BF0" w14:textId="2E605617" w:rsidR="00DD76FD" w:rsidRDefault="00AE6DCD" w:rsidP="00397704">
      <w:r>
        <w:t>9</w:t>
      </w:r>
      <w:r w:rsidR="00397704">
        <w:t xml:space="preserve">.2 </w:t>
      </w:r>
      <w:r w:rsidR="00DD76FD">
        <w:t xml:space="preserve">The Foundation will make </w:t>
      </w:r>
      <w:r w:rsidR="00397704" w:rsidRPr="00B77C57">
        <w:t>certain</w:t>
      </w:r>
      <w:r w:rsidR="00397704">
        <w:t xml:space="preserve"> </w:t>
      </w:r>
      <w:r w:rsidR="00DD76FD">
        <w:t>grant payments directly to suppliers, or in the case of some services, directly to identified cost centres within POWH.</w:t>
      </w:r>
    </w:p>
    <w:p w14:paraId="5CFD9F79" w14:textId="2C310410" w:rsidR="00DD76FD" w:rsidRDefault="00AE6DCD" w:rsidP="00DD76FD">
      <w:r>
        <w:t>9</w:t>
      </w:r>
      <w:r w:rsidR="00397704">
        <w:t>.3</w:t>
      </w:r>
      <w:r w:rsidR="00DD76FD">
        <w:t xml:space="preserve"> </w:t>
      </w:r>
      <w:r w:rsidR="00AF0697">
        <w:t>If the application includes quotes, i</w:t>
      </w:r>
      <w:r w:rsidR="00DD76FD">
        <w:t>t is the grant recipient’s responsibility to ensure all quotes are current</w:t>
      </w:r>
      <w:r w:rsidR="00AF0697">
        <w:t>.</w:t>
      </w:r>
    </w:p>
    <w:p w14:paraId="08DBC206" w14:textId="364F07C9" w:rsidR="00DD76FD" w:rsidRDefault="00AE6DCD" w:rsidP="00DD76FD">
      <w:r>
        <w:t>9</w:t>
      </w:r>
      <w:r w:rsidR="00397704">
        <w:t>.4</w:t>
      </w:r>
      <w:r w:rsidR="00DD76FD">
        <w:t xml:space="preserve"> Progress reports are required from all successful grant recipients at 6-month and 12-month intervals</w:t>
      </w:r>
      <w:r w:rsidR="00B77C57">
        <w:t xml:space="preserve"> without exception.</w:t>
      </w:r>
    </w:p>
    <w:p w14:paraId="2663C844" w14:textId="4D192C20" w:rsidR="00397704" w:rsidRDefault="00AE6DCD" w:rsidP="00397704">
      <w:r>
        <w:t>9</w:t>
      </w:r>
      <w:r w:rsidR="00397704">
        <w:t xml:space="preserve">.5 Grant recipients </w:t>
      </w:r>
      <w:r w:rsidR="00B77C57">
        <w:t>will</w:t>
      </w:r>
      <w:r w:rsidR="00397704">
        <w:t xml:space="preserve"> be required to acknowledge the support of the Foundation by displaying the Foundation logo on relevant materials. Please contact ola@powhf.org.au for the correct logo.</w:t>
      </w:r>
    </w:p>
    <w:p w14:paraId="5D06A86D" w14:textId="16B6235A" w:rsidR="00397704" w:rsidRDefault="00AE6DCD" w:rsidP="00397704">
      <w:r>
        <w:t>9</w:t>
      </w:r>
      <w:r w:rsidR="00397704">
        <w:t xml:space="preserve">.6 The Foundation has the right – in agreement with the grantee - to promote successful grants to the media, including print or digital. </w:t>
      </w:r>
    </w:p>
    <w:p w14:paraId="637841A0" w14:textId="42BA1BB2" w:rsidR="00397704" w:rsidRDefault="00AE6DCD" w:rsidP="00397704">
      <w:r>
        <w:t>9</w:t>
      </w:r>
      <w:r w:rsidR="00397704">
        <w:t>.7 The Foundation reserves the right to suspend or terminate funding with written notice to the grant recipient if a significant issue arises during grant funding that may cause harm to the Foundation or its brand.</w:t>
      </w:r>
    </w:p>
    <w:p w14:paraId="7D2CF042" w14:textId="77777777" w:rsidR="00467C03" w:rsidRDefault="00467C03" w:rsidP="0057211D">
      <w:pPr>
        <w:rPr>
          <w:u w:val="single"/>
        </w:rPr>
      </w:pPr>
    </w:p>
    <w:p w14:paraId="3CDC0E2A" w14:textId="7587FE1F" w:rsidR="0057211D" w:rsidRPr="00AE6DCD" w:rsidRDefault="00AE6DCD" w:rsidP="0057211D">
      <w:pPr>
        <w:rPr>
          <w:u w:val="single"/>
        </w:rPr>
      </w:pPr>
      <w:r w:rsidRPr="00AE6DCD">
        <w:rPr>
          <w:u w:val="single"/>
        </w:rPr>
        <w:t>10</w:t>
      </w:r>
      <w:r w:rsidR="0057211D" w:rsidRPr="00AE6DCD">
        <w:rPr>
          <w:u w:val="single"/>
        </w:rPr>
        <w:t>. CONDITIONS OF UNSUCCESSFUL GRANT AWARDS</w:t>
      </w:r>
    </w:p>
    <w:p w14:paraId="611827B0" w14:textId="4CACD0DE" w:rsidR="0057211D" w:rsidRDefault="00AE6DCD" w:rsidP="0057211D">
      <w:r>
        <w:t>10</w:t>
      </w:r>
      <w:r w:rsidR="0057211D">
        <w:t xml:space="preserve">.1 Unsuccessful applicants will be notified in writing after the August award announcement. </w:t>
      </w:r>
    </w:p>
    <w:p w14:paraId="76B7813F" w14:textId="459919DE" w:rsidR="0057211D" w:rsidRDefault="00AE6DCD" w:rsidP="0057211D">
      <w:r>
        <w:t>10</w:t>
      </w:r>
      <w:r w:rsidR="0057211D">
        <w:t xml:space="preserve">.2 If you would like </w:t>
      </w:r>
      <w:r w:rsidR="00A31E5F">
        <w:t xml:space="preserve">additional </w:t>
      </w:r>
      <w:r w:rsidR="0057211D">
        <w:t>feedback on your application, please contact the Program Manager, Ola Kay at ola@powhf.org.au</w:t>
      </w:r>
    </w:p>
    <w:p w14:paraId="688A169C" w14:textId="2484B9E0" w:rsidR="00DD76FD" w:rsidRDefault="00AE6DCD" w:rsidP="00DD76FD">
      <w:r>
        <w:t>10</w:t>
      </w:r>
      <w:r w:rsidR="0057211D">
        <w:t>.3 Unsuccessful applications may be eligible for resubmission the following year.</w:t>
      </w:r>
    </w:p>
    <w:sectPr w:rsidR="00DD76F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32B56" w14:textId="77777777" w:rsidR="0015574D" w:rsidRDefault="0015574D" w:rsidP="00DD76FD">
      <w:pPr>
        <w:spacing w:after="0" w:line="240" w:lineRule="auto"/>
      </w:pPr>
      <w:r>
        <w:separator/>
      </w:r>
    </w:p>
  </w:endnote>
  <w:endnote w:type="continuationSeparator" w:id="0">
    <w:p w14:paraId="21B924F2" w14:textId="77777777" w:rsidR="0015574D" w:rsidRDefault="0015574D" w:rsidP="00DD7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41339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B3D757" w14:textId="410730BE" w:rsidR="00DD76FD" w:rsidRDefault="00DD76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8A2FBB" w14:textId="77777777" w:rsidR="00DD76FD" w:rsidRDefault="00DD7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C3AF0" w14:textId="77777777" w:rsidR="0015574D" w:rsidRDefault="0015574D" w:rsidP="00DD76FD">
      <w:pPr>
        <w:spacing w:after="0" w:line="240" w:lineRule="auto"/>
      </w:pPr>
      <w:r>
        <w:separator/>
      </w:r>
    </w:p>
  </w:footnote>
  <w:footnote w:type="continuationSeparator" w:id="0">
    <w:p w14:paraId="414620A8" w14:textId="77777777" w:rsidR="0015574D" w:rsidRDefault="0015574D" w:rsidP="00DD7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1D0A"/>
    <w:multiLevelType w:val="multilevel"/>
    <w:tmpl w:val="677A1F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9966E8D"/>
    <w:multiLevelType w:val="hybridMultilevel"/>
    <w:tmpl w:val="C8DE871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A2AC4"/>
    <w:multiLevelType w:val="multilevel"/>
    <w:tmpl w:val="C8C02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5AB0850"/>
    <w:multiLevelType w:val="hybridMultilevel"/>
    <w:tmpl w:val="C9C6693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D5BA7"/>
    <w:multiLevelType w:val="hybridMultilevel"/>
    <w:tmpl w:val="BBEE333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85B092E"/>
    <w:multiLevelType w:val="hybridMultilevel"/>
    <w:tmpl w:val="A9BAE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C1B8E"/>
    <w:multiLevelType w:val="multilevel"/>
    <w:tmpl w:val="789C901E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1F7B6A68"/>
    <w:multiLevelType w:val="hybridMultilevel"/>
    <w:tmpl w:val="C3A63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55CFA"/>
    <w:multiLevelType w:val="hybridMultilevel"/>
    <w:tmpl w:val="3D068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02B40"/>
    <w:multiLevelType w:val="hybridMultilevel"/>
    <w:tmpl w:val="716474C6"/>
    <w:lvl w:ilvl="0" w:tplc="0C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540370D"/>
    <w:multiLevelType w:val="hybridMultilevel"/>
    <w:tmpl w:val="F0BA9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A3441"/>
    <w:multiLevelType w:val="hybridMultilevel"/>
    <w:tmpl w:val="3AC4BF6A"/>
    <w:lvl w:ilvl="0" w:tplc="0C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AE7D58"/>
    <w:multiLevelType w:val="hybridMultilevel"/>
    <w:tmpl w:val="C81C92E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02DF5"/>
    <w:multiLevelType w:val="hybridMultilevel"/>
    <w:tmpl w:val="B99C1FA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211C0"/>
    <w:multiLevelType w:val="hybridMultilevel"/>
    <w:tmpl w:val="38E04F08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7032FB"/>
    <w:multiLevelType w:val="hybridMultilevel"/>
    <w:tmpl w:val="20F23E26"/>
    <w:lvl w:ilvl="0" w:tplc="99D4C1B4">
      <w:start w:val="1"/>
      <w:numFmt w:val="lowerRoman"/>
      <w:lvlText w:val="%1."/>
      <w:lvlJc w:val="right"/>
      <w:pPr>
        <w:ind w:left="1080" w:hanging="360"/>
      </w:pPr>
      <w:rPr>
        <w:rFonts w:hint="default"/>
        <w:i w:val="0"/>
        <w:iCs w:val="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D909C8"/>
    <w:multiLevelType w:val="hybridMultilevel"/>
    <w:tmpl w:val="DF30F3A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F2D2B"/>
    <w:multiLevelType w:val="hybridMultilevel"/>
    <w:tmpl w:val="E1EA790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31348"/>
    <w:multiLevelType w:val="multilevel"/>
    <w:tmpl w:val="D7ACA3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75F6ED4"/>
    <w:multiLevelType w:val="hybridMultilevel"/>
    <w:tmpl w:val="0E7ADB1E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D4041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DBB61B3"/>
    <w:multiLevelType w:val="hybridMultilevel"/>
    <w:tmpl w:val="C2E8B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17ACD"/>
    <w:multiLevelType w:val="hybridMultilevel"/>
    <w:tmpl w:val="96384E6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B3749"/>
    <w:multiLevelType w:val="hybridMultilevel"/>
    <w:tmpl w:val="A9607556"/>
    <w:lvl w:ilvl="0" w:tplc="0C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000464"/>
    <w:multiLevelType w:val="hybridMultilevel"/>
    <w:tmpl w:val="6C4AB172"/>
    <w:lvl w:ilvl="0" w:tplc="0C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02399453">
    <w:abstractNumId w:val="0"/>
  </w:num>
  <w:num w:numId="2" w16cid:durableId="597253637">
    <w:abstractNumId w:val="2"/>
  </w:num>
  <w:num w:numId="3" w16cid:durableId="491798283">
    <w:abstractNumId w:val="18"/>
  </w:num>
  <w:num w:numId="4" w16cid:durableId="1372724285">
    <w:abstractNumId w:val="4"/>
  </w:num>
  <w:num w:numId="5" w16cid:durableId="1015351016">
    <w:abstractNumId w:val="8"/>
  </w:num>
  <w:num w:numId="6" w16cid:durableId="1848324463">
    <w:abstractNumId w:val="7"/>
  </w:num>
  <w:num w:numId="7" w16cid:durableId="2004235842">
    <w:abstractNumId w:val="12"/>
  </w:num>
  <w:num w:numId="8" w16cid:durableId="154034878">
    <w:abstractNumId w:val="22"/>
  </w:num>
  <w:num w:numId="9" w16cid:durableId="782531706">
    <w:abstractNumId w:val="5"/>
  </w:num>
  <w:num w:numId="10" w16cid:durableId="681470579">
    <w:abstractNumId w:val="3"/>
  </w:num>
  <w:num w:numId="11" w16cid:durableId="241650283">
    <w:abstractNumId w:val="13"/>
  </w:num>
  <w:num w:numId="12" w16cid:durableId="144199174">
    <w:abstractNumId w:val="17"/>
  </w:num>
  <w:num w:numId="13" w16cid:durableId="1157038751">
    <w:abstractNumId w:val="16"/>
  </w:num>
  <w:num w:numId="14" w16cid:durableId="918977203">
    <w:abstractNumId w:val="1"/>
  </w:num>
  <w:num w:numId="15" w16cid:durableId="2103792122">
    <w:abstractNumId w:val="9"/>
  </w:num>
  <w:num w:numId="16" w16cid:durableId="417101396">
    <w:abstractNumId w:val="23"/>
  </w:num>
  <w:num w:numId="17" w16cid:durableId="1317103568">
    <w:abstractNumId w:val="20"/>
  </w:num>
  <w:num w:numId="18" w16cid:durableId="1533878685">
    <w:abstractNumId w:val="6"/>
  </w:num>
  <w:num w:numId="19" w16cid:durableId="1693072651">
    <w:abstractNumId w:val="11"/>
  </w:num>
  <w:num w:numId="20" w16cid:durableId="528108349">
    <w:abstractNumId w:val="24"/>
  </w:num>
  <w:num w:numId="21" w16cid:durableId="276567802">
    <w:abstractNumId w:val="14"/>
  </w:num>
  <w:num w:numId="22" w16cid:durableId="319620073">
    <w:abstractNumId w:val="15"/>
  </w:num>
  <w:num w:numId="23" w16cid:durableId="526677782">
    <w:abstractNumId w:val="19"/>
  </w:num>
  <w:num w:numId="24" w16cid:durableId="426461657">
    <w:abstractNumId w:val="10"/>
  </w:num>
  <w:num w:numId="25" w16cid:durableId="11682539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669"/>
    <w:rsid w:val="00002A31"/>
    <w:rsid w:val="00013971"/>
    <w:rsid w:val="00036192"/>
    <w:rsid w:val="00103988"/>
    <w:rsid w:val="0015574D"/>
    <w:rsid w:val="001F4927"/>
    <w:rsid w:val="00220074"/>
    <w:rsid w:val="002219B4"/>
    <w:rsid w:val="00254C5D"/>
    <w:rsid w:val="00332531"/>
    <w:rsid w:val="003327B9"/>
    <w:rsid w:val="00380015"/>
    <w:rsid w:val="00381693"/>
    <w:rsid w:val="00397704"/>
    <w:rsid w:val="003A21E1"/>
    <w:rsid w:val="003B73AA"/>
    <w:rsid w:val="00430D2E"/>
    <w:rsid w:val="00467C03"/>
    <w:rsid w:val="00470A62"/>
    <w:rsid w:val="00473E98"/>
    <w:rsid w:val="004D7C58"/>
    <w:rsid w:val="004F6EAA"/>
    <w:rsid w:val="0057211D"/>
    <w:rsid w:val="005D02CF"/>
    <w:rsid w:val="0061397B"/>
    <w:rsid w:val="006922DB"/>
    <w:rsid w:val="006E1859"/>
    <w:rsid w:val="006E4A07"/>
    <w:rsid w:val="00712E31"/>
    <w:rsid w:val="0071381A"/>
    <w:rsid w:val="00726AA7"/>
    <w:rsid w:val="007461F6"/>
    <w:rsid w:val="007D7B75"/>
    <w:rsid w:val="00835DF9"/>
    <w:rsid w:val="00841AF1"/>
    <w:rsid w:val="00861635"/>
    <w:rsid w:val="008D604B"/>
    <w:rsid w:val="008E5C65"/>
    <w:rsid w:val="00907669"/>
    <w:rsid w:val="00955BD0"/>
    <w:rsid w:val="00977786"/>
    <w:rsid w:val="00A1388B"/>
    <w:rsid w:val="00A31E5F"/>
    <w:rsid w:val="00A65E62"/>
    <w:rsid w:val="00A81145"/>
    <w:rsid w:val="00A81D4C"/>
    <w:rsid w:val="00A833D3"/>
    <w:rsid w:val="00AC3F4F"/>
    <w:rsid w:val="00AE6DCD"/>
    <w:rsid w:val="00AE70CE"/>
    <w:rsid w:val="00AF0697"/>
    <w:rsid w:val="00B77C57"/>
    <w:rsid w:val="00B950A5"/>
    <w:rsid w:val="00BA41AB"/>
    <w:rsid w:val="00C24A1B"/>
    <w:rsid w:val="00C51856"/>
    <w:rsid w:val="00CB0457"/>
    <w:rsid w:val="00D5340D"/>
    <w:rsid w:val="00D54E74"/>
    <w:rsid w:val="00D8602B"/>
    <w:rsid w:val="00DD76FD"/>
    <w:rsid w:val="00E36E46"/>
    <w:rsid w:val="00E66BEF"/>
    <w:rsid w:val="00ED5145"/>
    <w:rsid w:val="00EF4126"/>
    <w:rsid w:val="00F659D8"/>
    <w:rsid w:val="00F67B75"/>
    <w:rsid w:val="00FB1FF7"/>
    <w:rsid w:val="00FB4649"/>
    <w:rsid w:val="00FC05AA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1B203"/>
  <w15:chartTrackingRefBased/>
  <w15:docId w15:val="{EF681E29-0A2D-44C3-A750-22798920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6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7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6FD"/>
  </w:style>
  <w:style w:type="paragraph" w:styleId="Footer">
    <w:name w:val="footer"/>
    <w:basedOn w:val="Normal"/>
    <w:link w:val="FooterChar"/>
    <w:uiPriority w:val="99"/>
    <w:unhideWhenUsed/>
    <w:rsid w:val="00DD7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2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E7D747969AC42B82D250ABB9FEA0D" ma:contentTypeVersion="16" ma:contentTypeDescription="Create a new document." ma:contentTypeScope="" ma:versionID="07117ad0184b57685c792d801e54d72a">
  <xsd:schema xmlns:xsd="http://www.w3.org/2001/XMLSchema" xmlns:xs="http://www.w3.org/2001/XMLSchema" xmlns:p="http://schemas.microsoft.com/office/2006/metadata/properties" xmlns:ns2="2983bb35-3434-4d56-bee2-fb4f3a5c4489" xmlns:ns3="7b5a81bc-1be1-44f4-884e-cc876bf75ec3" targetNamespace="http://schemas.microsoft.com/office/2006/metadata/properties" ma:root="true" ma:fieldsID="20ca95c2f58e717eebaae65e88ff6f39" ns2:_="" ns3:_="">
    <xsd:import namespace="2983bb35-3434-4d56-bee2-fb4f3a5c4489"/>
    <xsd:import namespace="7b5a81bc-1be1-44f4-884e-cc876bf75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3bb35-3434-4d56-bee2-fb4f3a5c4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0024513-d0df-4988-93ad-92a1338c57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a81bc-1be1-44f4-884e-cc876bf75ec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a96f88-0667-498b-9737-ab03b80506fb}" ma:internalName="TaxCatchAll" ma:showField="CatchAllData" ma:web="7b5a81bc-1be1-44f4-884e-cc876bf75e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657EED-B610-4ABF-B6B9-8EE97092E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83bb35-3434-4d56-bee2-fb4f3a5c4489"/>
    <ds:schemaRef ds:uri="7b5a81bc-1be1-44f4-884e-cc876bf75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A6CFBC-4BB4-4786-934E-4C19053354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Kay</dc:creator>
  <cp:keywords/>
  <dc:description/>
  <cp:lastModifiedBy>Julian Brown</cp:lastModifiedBy>
  <cp:revision>3</cp:revision>
  <cp:lastPrinted>2023-03-16T06:16:00Z</cp:lastPrinted>
  <dcterms:created xsi:type="dcterms:W3CDTF">2023-04-18T04:26:00Z</dcterms:created>
  <dcterms:modified xsi:type="dcterms:W3CDTF">2023-04-18T05:52:00Z</dcterms:modified>
</cp:coreProperties>
</file>